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E5" w:rsidRPr="00247080" w:rsidRDefault="00BE5255" w:rsidP="001177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7080">
        <w:rPr>
          <w:rFonts w:ascii="Arial" w:hAnsi="Arial" w:cs="Arial"/>
          <w:b/>
          <w:sz w:val="28"/>
          <w:szCs w:val="28"/>
        </w:rPr>
        <w:t>ACT Testing Exception Process</w:t>
      </w:r>
    </w:p>
    <w:p w:rsidR="002C7674" w:rsidRDefault="002C7674" w:rsidP="002C7674">
      <w:pPr>
        <w:pStyle w:val="Default"/>
        <w:rPr>
          <w:rFonts w:ascii="Arial" w:hAnsi="Arial" w:cs="Arial"/>
          <w:sz w:val="22"/>
          <w:szCs w:val="22"/>
        </w:rPr>
      </w:pPr>
    </w:p>
    <w:p w:rsidR="00BE5255" w:rsidRPr="00247080" w:rsidRDefault="000B4491" w:rsidP="00BE5255">
      <w:pPr>
        <w:pStyle w:val="Default"/>
        <w:rPr>
          <w:rFonts w:ascii="Arial" w:hAnsi="Arial" w:cs="Arial"/>
        </w:rPr>
      </w:pPr>
      <w:r w:rsidRPr="00247080">
        <w:rPr>
          <w:rFonts w:ascii="Arial" w:hAnsi="Arial" w:cs="Arial"/>
        </w:rPr>
        <w:t>If a student in the 11</w:t>
      </w:r>
      <w:r w:rsidRPr="00247080">
        <w:rPr>
          <w:rFonts w:ascii="Arial" w:hAnsi="Arial" w:cs="Arial"/>
          <w:vertAlign w:val="superscript"/>
        </w:rPr>
        <w:t>th</w:t>
      </w:r>
      <w:r w:rsidRPr="00247080">
        <w:rPr>
          <w:rFonts w:ascii="Arial" w:hAnsi="Arial" w:cs="Arial"/>
        </w:rPr>
        <w:t xml:space="preserve"> grade has</w:t>
      </w:r>
      <w:r w:rsidR="00BE5255" w:rsidRPr="00247080">
        <w:rPr>
          <w:rFonts w:ascii="Arial" w:hAnsi="Arial" w:cs="Arial"/>
        </w:rPr>
        <w:t xml:space="preserve"> taken the SAT or ACT prior to </w:t>
      </w:r>
      <w:r w:rsidRPr="00247080">
        <w:rPr>
          <w:rFonts w:ascii="Arial" w:hAnsi="Arial" w:cs="Arial"/>
        </w:rPr>
        <w:t>February 9, 2019 and has</w:t>
      </w:r>
      <w:r w:rsidR="00BE5255" w:rsidRPr="00247080">
        <w:rPr>
          <w:rFonts w:ascii="Arial" w:hAnsi="Arial" w:cs="Arial"/>
        </w:rPr>
        <w:t xml:space="preserve"> scores that meet the college readiness benchmark standards, they </w:t>
      </w:r>
      <w:r w:rsidR="001959CA" w:rsidRPr="00247080">
        <w:rPr>
          <w:rFonts w:ascii="Arial" w:hAnsi="Arial" w:cs="Arial"/>
        </w:rPr>
        <w:t>are not required</w:t>
      </w:r>
      <w:r w:rsidR="00BE5255" w:rsidRPr="00247080">
        <w:rPr>
          <w:rFonts w:ascii="Arial" w:hAnsi="Arial" w:cs="Arial"/>
        </w:rPr>
        <w:t xml:space="preserve"> to participate in the statewide ACT administration</w:t>
      </w:r>
      <w:r w:rsidRPr="00247080">
        <w:rPr>
          <w:rFonts w:ascii="Arial" w:hAnsi="Arial" w:cs="Arial"/>
        </w:rPr>
        <w:t xml:space="preserve"> on February 20, 2019</w:t>
      </w:r>
      <w:r w:rsidR="00BE5255" w:rsidRPr="00247080">
        <w:rPr>
          <w:rFonts w:ascii="Arial" w:hAnsi="Arial" w:cs="Arial"/>
        </w:rPr>
        <w:t xml:space="preserve">. However, it is the </w:t>
      </w:r>
      <w:r w:rsidR="00BE5255" w:rsidRPr="00247080">
        <w:rPr>
          <w:rFonts w:ascii="Arial" w:hAnsi="Arial" w:cs="Arial"/>
          <w:b/>
          <w:bCs/>
        </w:rPr>
        <w:t xml:space="preserve">students’ responsibility </w:t>
      </w:r>
      <w:r w:rsidR="00247080">
        <w:rPr>
          <w:rFonts w:ascii="Arial" w:hAnsi="Arial" w:cs="Arial"/>
        </w:rPr>
        <w:t>to initiate and follow through with the ACT Testing Exception process</w:t>
      </w:r>
      <w:r w:rsidR="00BE5255" w:rsidRPr="00247080">
        <w:rPr>
          <w:rFonts w:ascii="Arial" w:hAnsi="Arial" w:cs="Arial"/>
        </w:rPr>
        <w:t>.</w:t>
      </w:r>
      <w:r w:rsidR="004E181F" w:rsidRPr="00247080">
        <w:rPr>
          <w:rFonts w:ascii="Arial" w:hAnsi="Arial" w:cs="Arial"/>
        </w:rPr>
        <w:t xml:space="preserve">  </w:t>
      </w:r>
      <w:proofErr w:type="gramStart"/>
      <w:r w:rsidR="00247080">
        <w:rPr>
          <w:rFonts w:ascii="Arial" w:hAnsi="Arial" w:cs="Arial"/>
        </w:rPr>
        <w:t>A student</w:t>
      </w:r>
      <w:r w:rsidR="00BE5255" w:rsidRPr="00247080">
        <w:rPr>
          <w:rFonts w:ascii="Arial" w:hAnsi="Arial" w:cs="Arial"/>
        </w:rPr>
        <w:t xml:space="preserve"> must have either</w:t>
      </w:r>
      <w:proofErr w:type="gramEnd"/>
      <w:r w:rsidR="00BE5255" w:rsidRPr="00247080">
        <w:rPr>
          <w:rFonts w:ascii="Arial" w:hAnsi="Arial" w:cs="Arial"/>
        </w:rPr>
        <w:t xml:space="preserve"> </w:t>
      </w:r>
      <w:r w:rsidR="00247080">
        <w:rPr>
          <w:rFonts w:ascii="Arial" w:hAnsi="Arial" w:cs="Arial"/>
        </w:rPr>
        <w:t xml:space="preserve">an </w:t>
      </w:r>
      <w:r w:rsidR="00BE5255" w:rsidRPr="00247080">
        <w:rPr>
          <w:rFonts w:ascii="Arial" w:hAnsi="Arial" w:cs="Arial"/>
        </w:rPr>
        <w:t>SAT or ACT test scores that meet</w:t>
      </w:r>
      <w:r w:rsidR="00247080">
        <w:rPr>
          <w:rFonts w:ascii="Arial" w:hAnsi="Arial" w:cs="Arial"/>
        </w:rPr>
        <w:t>s</w:t>
      </w:r>
      <w:r w:rsidR="00BE5255" w:rsidRPr="00247080">
        <w:rPr>
          <w:rFonts w:ascii="Arial" w:hAnsi="Arial" w:cs="Arial"/>
        </w:rPr>
        <w:t xml:space="preserve"> the following college readiness benchmarks:</w:t>
      </w:r>
    </w:p>
    <w:p w:rsidR="003B5EE6" w:rsidRPr="00247080" w:rsidRDefault="003B5EE6" w:rsidP="00BE5255">
      <w:pPr>
        <w:pStyle w:val="Default"/>
        <w:rPr>
          <w:rFonts w:ascii="Arial" w:hAnsi="Arial" w:cs="Arial"/>
        </w:rPr>
      </w:pPr>
    </w:p>
    <w:p w:rsidR="003B5EE6" w:rsidRPr="00247080" w:rsidRDefault="003B5EE6" w:rsidP="00BE5255">
      <w:pPr>
        <w:pStyle w:val="Default"/>
        <w:rPr>
          <w:rFonts w:ascii="Arial" w:hAnsi="Arial" w:cs="Arial"/>
        </w:rPr>
      </w:pPr>
      <w:r w:rsidRPr="00247080">
        <w:rPr>
          <w:rFonts w:ascii="Arial" w:hAnsi="Arial" w:cs="Arial"/>
        </w:rPr>
        <w:t xml:space="preserve">Students may not combine test scores from separate administrations to meet </w:t>
      </w:r>
      <w:proofErr w:type="gramStart"/>
      <w:r w:rsidRPr="00247080">
        <w:rPr>
          <w:rFonts w:ascii="Arial" w:hAnsi="Arial" w:cs="Arial"/>
        </w:rPr>
        <w:t>college readiness benchmark scores</w:t>
      </w:r>
      <w:proofErr w:type="gramEnd"/>
      <w:r w:rsidRPr="00247080">
        <w:rPr>
          <w:rFonts w:ascii="Arial" w:hAnsi="Arial" w:cs="Arial"/>
        </w:rPr>
        <w:t xml:space="preserve">.  </w:t>
      </w:r>
      <w:r w:rsidRPr="00247080">
        <w:rPr>
          <w:rFonts w:ascii="Arial" w:hAnsi="Arial" w:cs="Arial"/>
          <w:b/>
          <w:i/>
        </w:rPr>
        <w:t xml:space="preserve">All scores </w:t>
      </w:r>
      <w:proofErr w:type="gramStart"/>
      <w:r w:rsidRPr="00247080">
        <w:rPr>
          <w:rFonts w:ascii="Arial" w:hAnsi="Arial" w:cs="Arial"/>
          <w:b/>
          <w:i/>
        </w:rPr>
        <w:t>must be attained</w:t>
      </w:r>
      <w:proofErr w:type="gramEnd"/>
      <w:r w:rsidRPr="00247080">
        <w:rPr>
          <w:rFonts w:ascii="Arial" w:hAnsi="Arial" w:cs="Arial"/>
          <w:b/>
          <w:i/>
        </w:rPr>
        <w:t xml:space="preserve"> during the same test administration</w:t>
      </w:r>
      <w:r w:rsidRPr="00247080">
        <w:rPr>
          <w:rFonts w:ascii="Arial" w:hAnsi="Arial" w:cs="Arial"/>
        </w:rPr>
        <w:t xml:space="preserve">.  Before </w:t>
      </w:r>
      <w:proofErr w:type="gramStart"/>
      <w:r w:rsidRPr="00247080">
        <w:rPr>
          <w:rFonts w:ascii="Arial" w:hAnsi="Arial" w:cs="Arial"/>
        </w:rPr>
        <w:t>being considered for a testing exception, students must have either</w:t>
      </w:r>
      <w:proofErr w:type="gramEnd"/>
      <w:r w:rsidRPr="00247080">
        <w:rPr>
          <w:rFonts w:ascii="Arial" w:hAnsi="Arial" w:cs="Arial"/>
        </w:rPr>
        <w:t xml:space="preserve"> SAT or ACT test scores that meet the following college readiness benchmarks:</w:t>
      </w:r>
    </w:p>
    <w:p w:rsidR="00A82984" w:rsidRDefault="00A82984" w:rsidP="00A82984">
      <w:pPr>
        <w:pStyle w:val="Header"/>
        <w:tabs>
          <w:tab w:val="center" w:pos="4410"/>
          <w:tab w:val="left" w:pos="4950"/>
          <w:tab w:val="left" w:pos="5670"/>
        </w:tabs>
        <w:ind w:left="540"/>
        <w:rPr>
          <w:b/>
          <w:sz w:val="22"/>
          <w:szCs w:val="22"/>
        </w:rPr>
      </w:pPr>
    </w:p>
    <w:p w:rsidR="000B4491" w:rsidRPr="00444877" w:rsidRDefault="000B4491" w:rsidP="00A82984">
      <w:pPr>
        <w:pStyle w:val="Header"/>
        <w:tabs>
          <w:tab w:val="center" w:pos="4410"/>
          <w:tab w:val="left" w:pos="4950"/>
          <w:tab w:val="left" w:pos="5670"/>
        </w:tabs>
        <w:ind w:left="54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2"/>
        <w:gridCol w:w="1761"/>
      </w:tblGrid>
      <w:tr w:rsidR="000B4491" w:rsidRPr="00247080" w:rsidTr="000B4491">
        <w:trPr>
          <w:trHeight w:val="386"/>
        </w:trPr>
        <w:tc>
          <w:tcPr>
            <w:tcW w:w="176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47080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761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47080">
              <w:rPr>
                <w:b/>
                <w:sz w:val="24"/>
                <w:szCs w:val="24"/>
              </w:rPr>
              <w:t>SAT Score</w:t>
            </w:r>
          </w:p>
        </w:tc>
      </w:tr>
      <w:tr w:rsidR="000B4491" w:rsidRPr="00247080" w:rsidTr="000B4491">
        <w:trPr>
          <w:trHeight w:val="614"/>
        </w:trPr>
        <w:tc>
          <w:tcPr>
            <w:tcW w:w="176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 xml:space="preserve">Evidence-Based Reading and Writing </w:t>
            </w:r>
          </w:p>
        </w:tc>
        <w:tc>
          <w:tcPr>
            <w:tcW w:w="1761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340</w:t>
            </w:r>
          </w:p>
        </w:tc>
      </w:tr>
      <w:tr w:rsidR="000B4491" w:rsidRPr="00247080" w:rsidTr="000B4491">
        <w:trPr>
          <w:trHeight w:val="444"/>
        </w:trPr>
        <w:tc>
          <w:tcPr>
            <w:tcW w:w="176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Mathematics</w:t>
            </w:r>
          </w:p>
        </w:tc>
        <w:tc>
          <w:tcPr>
            <w:tcW w:w="1761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540</w:t>
            </w:r>
          </w:p>
        </w:tc>
      </w:tr>
    </w:tbl>
    <w:tbl>
      <w:tblPr>
        <w:tblStyle w:val="TableGrid"/>
        <w:tblpPr w:leftFromText="180" w:rightFromText="180" w:vertAnchor="text" w:horzAnchor="page" w:tblpX="5746" w:tblpY="4"/>
        <w:tblW w:w="0" w:type="auto"/>
        <w:tblLook w:val="04A0" w:firstRow="1" w:lastRow="0" w:firstColumn="1" w:lastColumn="0" w:noHBand="0" w:noVBand="1"/>
      </w:tblPr>
      <w:tblGrid>
        <w:gridCol w:w="1912"/>
        <w:gridCol w:w="1912"/>
      </w:tblGrid>
      <w:tr w:rsidR="000B4491" w:rsidRPr="00247080" w:rsidTr="000B4491">
        <w:trPr>
          <w:trHeight w:val="16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47080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47080">
              <w:rPr>
                <w:b/>
                <w:sz w:val="24"/>
                <w:szCs w:val="24"/>
              </w:rPr>
              <w:t>ACT Score</w:t>
            </w:r>
          </w:p>
        </w:tc>
      </w:tr>
      <w:tr w:rsidR="000B4491" w:rsidRPr="00247080" w:rsidTr="000B4491">
        <w:trPr>
          <w:trHeight w:val="15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English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18</w:t>
            </w:r>
          </w:p>
        </w:tc>
      </w:tr>
      <w:tr w:rsidR="000B4491" w:rsidRPr="00247080" w:rsidTr="000B4491">
        <w:trPr>
          <w:trHeight w:val="16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Mathematics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22</w:t>
            </w:r>
          </w:p>
        </w:tc>
      </w:tr>
      <w:tr w:rsidR="000B4491" w:rsidRPr="00247080" w:rsidTr="000B4491">
        <w:trPr>
          <w:trHeight w:val="16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Reading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22</w:t>
            </w:r>
          </w:p>
        </w:tc>
      </w:tr>
      <w:tr w:rsidR="000B4491" w:rsidRPr="00247080" w:rsidTr="000B4491">
        <w:trPr>
          <w:trHeight w:val="15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Science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23</w:t>
            </w:r>
          </w:p>
        </w:tc>
      </w:tr>
      <w:tr w:rsidR="000B4491" w:rsidRPr="00247080" w:rsidTr="000B4491">
        <w:trPr>
          <w:trHeight w:val="165"/>
        </w:trPr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Writing</w:t>
            </w:r>
          </w:p>
        </w:tc>
        <w:tc>
          <w:tcPr>
            <w:tcW w:w="1912" w:type="dxa"/>
          </w:tcPr>
          <w:p w:rsidR="000B4491" w:rsidRPr="00247080" w:rsidRDefault="000B4491" w:rsidP="000B4491">
            <w:pPr>
              <w:pStyle w:val="Header"/>
              <w:tabs>
                <w:tab w:val="center" w:pos="4410"/>
                <w:tab w:val="left" w:pos="4950"/>
                <w:tab w:val="left" w:pos="567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47080">
              <w:rPr>
                <w:sz w:val="24"/>
                <w:szCs w:val="24"/>
              </w:rPr>
              <w:t>7</w:t>
            </w:r>
          </w:p>
        </w:tc>
      </w:tr>
    </w:tbl>
    <w:p w:rsidR="000B4491" w:rsidRPr="00247080" w:rsidRDefault="000B4491" w:rsidP="000B4491">
      <w:pPr>
        <w:pStyle w:val="Header"/>
        <w:tabs>
          <w:tab w:val="center" w:pos="4410"/>
          <w:tab w:val="left" w:pos="4950"/>
          <w:tab w:val="left" w:pos="5670"/>
        </w:tabs>
        <w:spacing w:line="240" w:lineRule="exact"/>
        <w:ind w:left="547" w:firstLine="720"/>
        <w:rPr>
          <w:b/>
          <w:sz w:val="24"/>
          <w:szCs w:val="24"/>
        </w:rPr>
      </w:pPr>
      <w:r w:rsidRPr="00247080">
        <w:rPr>
          <w:b/>
          <w:sz w:val="24"/>
          <w:szCs w:val="24"/>
        </w:rPr>
        <w:t xml:space="preserve">       </w:t>
      </w:r>
    </w:p>
    <w:p w:rsidR="00A82984" w:rsidRPr="000B4491" w:rsidRDefault="000B4491" w:rsidP="000B4491">
      <w:pPr>
        <w:pStyle w:val="Header"/>
        <w:tabs>
          <w:tab w:val="center" w:pos="4410"/>
          <w:tab w:val="left" w:pos="4950"/>
          <w:tab w:val="left" w:pos="5670"/>
        </w:tabs>
        <w:spacing w:line="240" w:lineRule="exact"/>
        <w:ind w:left="547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A82984" w:rsidRPr="00EF1FD2" w:rsidRDefault="00A82984" w:rsidP="00A82984">
      <w:pPr>
        <w:rPr>
          <w:vanish/>
        </w:rPr>
      </w:pPr>
    </w:p>
    <w:p w:rsidR="00A82984" w:rsidRPr="00444877" w:rsidRDefault="00A82984" w:rsidP="00A82984">
      <w:pPr>
        <w:pStyle w:val="Header"/>
        <w:tabs>
          <w:tab w:val="center" w:pos="4410"/>
          <w:tab w:val="left" w:pos="6690"/>
        </w:tabs>
        <w:ind w:left="360"/>
        <w:rPr>
          <w:sz w:val="22"/>
          <w:szCs w:val="22"/>
        </w:rPr>
      </w:pPr>
    </w:p>
    <w:p w:rsidR="00BE5255" w:rsidRPr="00247080" w:rsidRDefault="00BE5255" w:rsidP="00BE525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Students must complete </w:t>
      </w:r>
      <w:r w:rsidR="005A2F59"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the </w:t>
      </w:r>
      <w:r w:rsidR="00D54F4A" w:rsidRPr="00247080">
        <w:rPr>
          <w:rFonts w:ascii="Arial" w:eastAsiaTheme="minorHAnsi" w:hAnsi="Arial" w:cs="Arial"/>
          <w:i/>
          <w:color w:val="000000"/>
          <w:sz w:val="24"/>
          <w:szCs w:val="24"/>
        </w:rPr>
        <w:t>ACT Testing Exce</w:t>
      </w:r>
      <w:r w:rsidR="00A5755F" w:rsidRPr="00247080">
        <w:rPr>
          <w:rFonts w:ascii="Arial" w:eastAsiaTheme="minorHAnsi" w:hAnsi="Arial" w:cs="Arial"/>
          <w:i/>
          <w:color w:val="000000"/>
          <w:sz w:val="24"/>
          <w:szCs w:val="24"/>
        </w:rPr>
        <w:t>ption</w:t>
      </w:r>
      <w:r w:rsidR="005A2F59" w:rsidRPr="00247080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Request Form</w:t>
      </w:r>
      <w:r w:rsidR="005A2F59"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0B4491" w:rsidRPr="00247080">
        <w:rPr>
          <w:rFonts w:ascii="Arial" w:eastAsiaTheme="minorHAnsi" w:hAnsi="Arial" w:cs="Arial"/>
          <w:color w:val="000000"/>
          <w:sz w:val="24"/>
          <w:szCs w:val="24"/>
        </w:rPr>
        <w:t>(Printed on the back</w:t>
      </w:r>
      <w:r w:rsidR="005B7079"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430177" w:rsidRPr="00247080">
        <w:rPr>
          <w:rFonts w:ascii="Arial" w:eastAsiaTheme="minorHAnsi" w:hAnsi="Arial" w:cs="Arial"/>
          <w:color w:val="000000"/>
          <w:sz w:val="24"/>
          <w:szCs w:val="24"/>
        </w:rPr>
        <w:t>and include an</w:t>
      </w:r>
      <w:r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47080">
        <w:rPr>
          <w:rFonts w:ascii="Arial" w:eastAsiaTheme="minorHAnsi" w:hAnsi="Arial" w:cs="Arial"/>
          <w:b/>
          <w:color w:val="000000"/>
          <w:sz w:val="24"/>
          <w:szCs w:val="24"/>
        </w:rPr>
        <w:t>original</w:t>
      </w:r>
      <w:r w:rsidRPr="00247080">
        <w:rPr>
          <w:rFonts w:ascii="Arial" w:eastAsiaTheme="minorHAnsi" w:hAnsi="Arial" w:cs="Arial"/>
          <w:color w:val="000000"/>
          <w:sz w:val="24"/>
          <w:szCs w:val="24"/>
        </w:rPr>
        <w:t xml:space="preserve"> student score report from SAT </w:t>
      </w:r>
      <w:r w:rsidR="00247080">
        <w:rPr>
          <w:rFonts w:ascii="Arial" w:eastAsiaTheme="minorHAnsi" w:hAnsi="Arial" w:cs="Arial"/>
          <w:color w:val="000000"/>
          <w:sz w:val="24"/>
          <w:szCs w:val="24"/>
        </w:rPr>
        <w:t xml:space="preserve">or ACT.  </w:t>
      </w:r>
      <w:r w:rsidR="001177BB" w:rsidRPr="00247080">
        <w:rPr>
          <w:rFonts w:ascii="Arial" w:eastAsiaTheme="minorHAnsi" w:hAnsi="Arial" w:cs="Arial"/>
          <w:color w:val="000000"/>
          <w:sz w:val="24"/>
          <w:szCs w:val="24"/>
        </w:rPr>
        <w:t>The student is responsible for obtaining the score report through College Board or ACT, the school will not have a copy.</w:t>
      </w:r>
    </w:p>
    <w:p w:rsidR="00BE5255" w:rsidRPr="005B7079" w:rsidRDefault="00BE5255" w:rsidP="005A2F5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BE5255" w:rsidRPr="00247080" w:rsidRDefault="00BE5255" w:rsidP="00BE525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32"/>
          <w:szCs w:val="32"/>
        </w:rPr>
      </w:pPr>
      <w:r w:rsidRPr="00247080">
        <w:rPr>
          <w:rFonts w:ascii="Arial" w:eastAsiaTheme="minorHAnsi" w:hAnsi="Arial" w:cs="Arial"/>
          <w:color w:val="000000"/>
          <w:sz w:val="32"/>
          <w:szCs w:val="32"/>
        </w:rPr>
        <w:t>Req</w:t>
      </w:r>
      <w:r w:rsidR="00A35647" w:rsidRPr="00247080">
        <w:rPr>
          <w:rFonts w:ascii="Arial" w:eastAsiaTheme="minorHAnsi" w:hAnsi="Arial" w:cs="Arial"/>
          <w:color w:val="000000"/>
          <w:sz w:val="32"/>
          <w:szCs w:val="32"/>
        </w:rPr>
        <w:t xml:space="preserve">uests </w:t>
      </w:r>
      <w:proofErr w:type="gramStart"/>
      <w:r w:rsidR="00A35647" w:rsidRPr="00247080">
        <w:rPr>
          <w:rFonts w:ascii="Arial" w:eastAsiaTheme="minorHAnsi" w:hAnsi="Arial" w:cs="Arial"/>
          <w:color w:val="000000"/>
          <w:sz w:val="32"/>
          <w:szCs w:val="32"/>
        </w:rPr>
        <w:t>must be submitted</w:t>
      </w:r>
      <w:proofErr w:type="gramEnd"/>
      <w:r w:rsidR="00A35647" w:rsidRPr="00247080">
        <w:rPr>
          <w:rFonts w:ascii="Arial" w:eastAsiaTheme="minorHAnsi" w:hAnsi="Arial" w:cs="Arial"/>
          <w:color w:val="000000"/>
          <w:sz w:val="32"/>
          <w:szCs w:val="32"/>
        </w:rPr>
        <w:t xml:space="preserve"> to the </w:t>
      </w:r>
      <w:r w:rsidR="001177BB" w:rsidRPr="00247080">
        <w:rPr>
          <w:rFonts w:ascii="Arial" w:eastAsiaTheme="minorHAnsi" w:hAnsi="Arial" w:cs="Arial"/>
          <w:color w:val="000000"/>
          <w:sz w:val="32"/>
          <w:szCs w:val="32"/>
        </w:rPr>
        <w:t>School T</w:t>
      </w:r>
      <w:r w:rsidR="000B4491" w:rsidRPr="00247080">
        <w:rPr>
          <w:rFonts w:ascii="Arial" w:eastAsiaTheme="minorHAnsi" w:hAnsi="Arial" w:cs="Arial"/>
          <w:color w:val="000000"/>
          <w:sz w:val="32"/>
          <w:szCs w:val="32"/>
        </w:rPr>
        <w:t>esting Coordinator</w:t>
      </w:r>
      <w:r w:rsidR="00430177" w:rsidRPr="00247080">
        <w:rPr>
          <w:rFonts w:ascii="Arial" w:eastAsiaTheme="minorHAnsi" w:hAnsi="Arial" w:cs="Arial"/>
          <w:color w:val="000000"/>
          <w:sz w:val="32"/>
          <w:szCs w:val="32"/>
        </w:rPr>
        <w:t xml:space="preserve"> </w:t>
      </w:r>
      <w:r w:rsidRPr="00247080">
        <w:rPr>
          <w:rFonts w:ascii="Arial" w:eastAsiaTheme="minorHAnsi" w:hAnsi="Arial" w:cs="Arial"/>
          <w:color w:val="000000"/>
          <w:sz w:val="32"/>
          <w:szCs w:val="32"/>
        </w:rPr>
        <w:t xml:space="preserve">no later than </w:t>
      </w:r>
      <w:r w:rsidR="000B4491" w:rsidRPr="00247080">
        <w:rPr>
          <w:rFonts w:ascii="Arial" w:eastAsiaTheme="minorHAnsi" w:hAnsi="Arial" w:cs="Arial"/>
          <w:b/>
          <w:bCs/>
          <w:color w:val="000000"/>
          <w:sz w:val="32"/>
          <w:szCs w:val="32"/>
        </w:rPr>
        <w:t>February 9</w:t>
      </w:r>
      <w:r w:rsidRPr="00247080">
        <w:rPr>
          <w:rFonts w:ascii="Arial" w:eastAsiaTheme="minorHAnsi" w:hAnsi="Arial" w:cs="Arial"/>
          <w:b/>
          <w:bCs/>
          <w:color w:val="000000"/>
          <w:sz w:val="32"/>
          <w:szCs w:val="32"/>
        </w:rPr>
        <w:t>, 201</w:t>
      </w:r>
      <w:r w:rsidR="000B4491" w:rsidRPr="00247080">
        <w:rPr>
          <w:rFonts w:ascii="Arial" w:eastAsiaTheme="minorHAnsi" w:hAnsi="Arial" w:cs="Arial"/>
          <w:b/>
          <w:bCs/>
          <w:color w:val="000000"/>
          <w:sz w:val="32"/>
          <w:szCs w:val="32"/>
        </w:rPr>
        <w:t>9</w:t>
      </w:r>
      <w:r w:rsidRPr="00247080">
        <w:rPr>
          <w:rFonts w:ascii="Arial" w:eastAsiaTheme="minorHAnsi" w:hAnsi="Arial" w:cs="Arial"/>
          <w:b/>
          <w:bCs/>
          <w:color w:val="000000"/>
          <w:sz w:val="32"/>
          <w:szCs w:val="32"/>
        </w:rPr>
        <w:t xml:space="preserve">. </w:t>
      </w:r>
      <w:r w:rsidR="001177BB" w:rsidRPr="00247080">
        <w:rPr>
          <w:rFonts w:ascii="Arial" w:eastAsiaTheme="minorHAnsi" w:hAnsi="Arial" w:cs="Arial"/>
          <w:bCs/>
          <w:color w:val="000000"/>
          <w:sz w:val="32"/>
          <w:szCs w:val="32"/>
        </w:rPr>
        <w:t>This is a firm deadline with no exceptions.</w:t>
      </w:r>
    </w:p>
    <w:p w:rsidR="005A2F59" w:rsidRPr="005B7079" w:rsidRDefault="005A2F59" w:rsidP="00BE525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5B7079" w:rsidRDefault="000B4491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0B4491" w:rsidRDefault="000B4491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>If you have further questions please contact the School Testing Coordinator:</w:t>
      </w: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>Susan Keiger</w:t>
      </w: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>Office in Student Services</w:t>
      </w: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>980-344-0514</w:t>
      </w:r>
    </w:p>
    <w:p w:rsidR="005B7079" w:rsidRPr="00247080" w:rsidRDefault="005B7079" w:rsidP="005B70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247080">
        <w:rPr>
          <w:rFonts w:ascii="Arial" w:eastAsiaTheme="minorHAnsi" w:hAnsi="Arial" w:cs="Arial"/>
          <w:color w:val="000000"/>
          <w:sz w:val="24"/>
          <w:szCs w:val="24"/>
        </w:rPr>
        <w:t>susanj.keiger@cms.k12.nc.us</w:t>
      </w:r>
    </w:p>
    <w:p w:rsidR="005A2F59" w:rsidRPr="00430177" w:rsidRDefault="005A2F59" w:rsidP="0043017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sectPr w:rsidR="005A2F59" w:rsidRPr="00430177" w:rsidSect="005B7079">
      <w:headerReference w:type="default" r:id="rId11"/>
      <w:footerReference w:type="default" r:id="rId12"/>
      <w:pgSz w:w="12240" w:h="15840"/>
      <w:pgMar w:top="1008" w:right="1440" w:bottom="1008" w:left="144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15" w:rsidRDefault="00770515" w:rsidP="00DA343E">
      <w:r>
        <w:separator/>
      </w:r>
    </w:p>
  </w:endnote>
  <w:endnote w:type="continuationSeparator" w:id="0">
    <w:p w:rsidR="00770515" w:rsidRDefault="00770515" w:rsidP="00DA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5" w:rsidRDefault="00770515" w:rsidP="00A5755F">
    <w:pPr>
      <w:pStyle w:val="Footer"/>
      <w:ind w:left="-450"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15" w:rsidRDefault="00770515" w:rsidP="00DA343E">
      <w:r>
        <w:separator/>
      </w:r>
    </w:p>
  </w:footnote>
  <w:footnote w:type="continuationSeparator" w:id="0">
    <w:p w:rsidR="00770515" w:rsidRDefault="00770515" w:rsidP="00DA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5" w:rsidRDefault="00770515" w:rsidP="002276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062"/>
    <w:multiLevelType w:val="hybridMultilevel"/>
    <w:tmpl w:val="3BE6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07EF"/>
    <w:multiLevelType w:val="hybridMultilevel"/>
    <w:tmpl w:val="3BAE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F6A"/>
    <w:multiLevelType w:val="hybridMultilevel"/>
    <w:tmpl w:val="9504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04E"/>
    <w:multiLevelType w:val="hybridMultilevel"/>
    <w:tmpl w:val="7DB8876A"/>
    <w:lvl w:ilvl="0" w:tplc="BE1E09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4D8C"/>
    <w:multiLevelType w:val="hybridMultilevel"/>
    <w:tmpl w:val="0EC2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043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E"/>
    <w:rsid w:val="00064ECB"/>
    <w:rsid w:val="00065590"/>
    <w:rsid w:val="000B4491"/>
    <w:rsid w:val="001177BB"/>
    <w:rsid w:val="0013469D"/>
    <w:rsid w:val="001959CA"/>
    <w:rsid w:val="001A6BC2"/>
    <w:rsid w:val="002276A3"/>
    <w:rsid w:val="00247080"/>
    <w:rsid w:val="00257585"/>
    <w:rsid w:val="002C727D"/>
    <w:rsid w:val="002C7674"/>
    <w:rsid w:val="002C78C2"/>
    <w:rsid w:val="002E14E9"/>
    <w:rsid w:val="003127BA"/>
    <w:rsid w:val="00325AA2"/>
    <w:rsid w:val="00336946"/>
    <w:rsid w:val="00352F9B"/>
    <w:rsid w:val="003A0E9B"/>
    <w:rsid w:val="003B5EE6"/>
    <w:rsid w:val="003C1C40"/>
    <w:rsid w:val="003C26A2"/>
    <w:rsid w:val="003D24C3"/>
    <w:rsid w:val="00416D02"/>
    <w:rsid w:val="00430177"/>
    <w:rsid w:val="00483B9E"/>
    <w:rsid w:val="004E181F"/>
    <w:rsid w:val="004E1D25"/>
    <w:rsid w:val="004F5B27"/>
    <w:rsid w:val="00554543"/>
    <w:rsid w:val="005A04E9"/>
    <w:rsid w:val="005A2F59"/>
    <w:rsid w:val="005B7079"/>
    <w:rsid w:val="0060164B"/>
    <w:rsid w:val="00704A10"/>
    <w:rsid w:val="0073453A"/>
    <w:rsid w:val="00770515"/>
    <w:rsid w:val="008016D7"/>
    <w:rsid w:val="0081299D"/>
    <w:rsid w:val="00847906"/>
    <w:rsid w:val="008845D9"/>
    <w:rsid w:val="008B0E0E"/>
    <w:rsid w:val="008C12CE"/>
    <w:rsid w:val="00914CE5"/>
    <w:rsid w:val="00952825"/>
    <w:rsid w:val="009564D3"/>
    <w:rsid w:val="0095735D"/>
    <w:rsid w:val="00A03F9B"/>
    <w:rsid w:val="00A35647"/>
    <w:rsid w:val="00A411F8"/>
    <w:rsid w:val="00A422B1"/>
    <w:rsid w:val="00A56510"/>
    <w:rsid w:val="00A5755F"/>
    <w:rsid w:val="00A61FF7"/>
    <w:rsid w:val="00A763B9"/>
    <w:rsid w:val="00A77D48"/>
    <w:rsid w:val="00A82984"/>
    <w:rsid w:val="00A848E3"/>
    <w:rsid w:val="00AD6A55"/>
    <w:rsid w:val="00AD7D86"/>
    <w:rsid w:val="00B3436C"/>
    <w:rsid w:val="00B363F7"/>
    <w:rsid w:val="00B62487"/>
    <w:rsid w:val="00BA4B28"/>
    <w:rsid w:val="00BB7F91"/>
    <w:rsid w:val="00BC4BA9"/>
    <w:rsid w:val="00BE5255"/>
    <w:rsid w:val="00C16BE1"/>
    <w:rsid w:val="00C55651"/>
    <w:rsid w:val="00CB7D78"/>
    <w:rsid w:val="00D453C7"/>
    <w:rsid w:val="00D54F4A"/>
    <w:rsid w:val="00D679AB"/>
    <w:rsid w:val="00DA343E"/>
    <w:rsid w:val="00DB078C"/>
    <w:rsid w:val="00E56839"/>
    <w:rsid w:val="00E660A5"/>
    <w:rsid w:val="00E92B63"/>
    <w:rsid w:val="00E95C78"/>
    <w:rsid w:val="00F939E5"/>
    <w:rsid w:val="00FA6CB7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8185E2F1-A7AD-4208-BD49-D30B27A8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3E"/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E"/>
  </w:style>
  <w:style w:type="paragraph" w:styleId="BalloonText">
    <w:name w:val="Balloon Text"/>
    <w:basedOn w:val="Normal"/>
    <w:link w:val="BalloonTextChar"/>
    <w:uiPriority w:val="99"/>
    <w:semiHidden/>
    <w:unhideWhenUsed/>
    <w:rsid w:val="00DA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674"/>
    <w:rPr>
      <w:rFonts w:ascii="Microsoft Sans Serif" w:eastAsiaTheme="minorHAnsi" w:hAnsi="Microsoft Sans Serif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6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7674"/>
    <w:pPr>
      <w:ind w:left="720"/>
      <w:contextualSpacing/>
    </w:pPr>
  </w:style>
  <w:style w:type="table" w:styleId="TableGrid">
    <w:name w:val="Table Grid"/>
    <w:basedOn w:val="TableNormal"/>
    <w:uiPriority w:val="59"/>
    <w:rsid w:val="00BE5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f513400d2f4ec5f2719f417e76ae69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D978-361F-46EA-AF7C-B350FF6296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A4FE9-7C30-4D95-8A53-1A4445F48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DAF14-55F4-4AE4-BFDA-015A764D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29F30-D69F-4939-B22B-9827C73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Keiger, Susan J.</cp:lastModifiedBy>
  <cp:revision>2</cp:revision>
  <cp:lastPrinted>2018-12-18T18:39:00Z</cp:lastPrinted>
  <dcterms:created xsi:type="dcterms:W3CDTF">2019-01-07T14:36:00Z</dcterms:created>
  <dcterms:modified xsi:type="dcterms:W3CDTF">2019-01-07T14:36:00Z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